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5245" w:leader="none"/>
        </w:tabs>
        <w:spacing w:before="0" w:after="0"/>
        <w:contextualSpacing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lang w:val="uk-UA"/>
        </w:rPr>
        <w:t>ДОГОВІР ПРИЄДНАННЯ</w:t>
      </w:r>
    </w:p>
    <w:p>
      <w:pPr>
        <w:pStyle w:val="2"/>
        <w:spacing w:lineRule="auto" w:line="276"/>
        <w:ind w:left="0" w:hanging="0"/>
        <w:jc w:val="both"/>
        <w:rPr>
          <w:rFonts w:ascii="Times New Roman" w:hAnsi="Times New Roman"/>
          <w:b w:val="false"/>
          <w:b w:val="false"/>
          <w:sz w:val="23"/>
          <w:szCs w:val="23"/>
          <w:lang w:val="uk-UA"/>
        </w:rPr>
      </w:pPr>
      <w:r>
        <w:rPr>
          <w:rFonts w:ascii="Times New Roman" w:hAnsi="Times New Roman"/>
          <w:b w:val="false"/>
          <w:sz w:val="23"/>
          <w:szCs w:val="23"/>
          <w:lang w:val="uk-UA"/>
        </w:rPr>
      </w:r>
    </w:p>
    <w:p>
      <w:pPr>
        <w:pStyle w:val="2"/>
        <w:spacing w:lineRule="auto" w:line="276"/>
        <w:ind w:left="0" w:hanging="0"/>
        <w:jc w:val="both"/>
        <w:rPr/>
      </w:pPr>
      <w:r>
        <w:rPr>
          <w:rFonts w:ascii="Times New Roman" w:hAnsi="Times New Roman"/>
          <w:b w:val="false"/>
          <w:sz w:val="23"/>
          <w:szCs w:val="23"/>
          <w:lang w:val="uk-UA"/>
        </w:rPr>
        <w:t>м. Київ</w:t>
        <w:tab/>
        <w:tab/>
        <w:tab/>
        <w:tab/>
        <w:tab/>
        <w:tab/>
        <w:tab/>
        <w:tab/>
        <w:t xml:space="preserve">      «__» _________ 201</w:t>
      </w:r>
      <w:r>
        <w:rPr>
          <w:rFonts w:ascii="Times New Roman" w:hAnsi="Times New Roman"/>
          <w:b w:val="false"/>
          <w:sz w:val="23"/>
          <w:szCs w:val="23"/>
          <w:lang w:val="uk-UA"/>
        </w:rPr>
        <w:t>9</w:t>
      </w:r>
      <w:r>
        <w:rPr>
          <w:rFonts w:ascii="Times New Roman" w:hAnsi="Times New Roman"/>
          <w:b w:val="false"/>
          <w:sz w:val="23"/>
          <w:szCs w:val="23"/>
          <w:lang w:val="uk-UA"/>
        </w:rPr>
        <w:t xml:space="preserve"> року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3"/>
          <w:szCs w:val="23"/>
          <w:lang w:val="uk-UA"/>
        </w:rPr>
      </w:pPr>
      <w:r>
        <w:rPr>
          <w:rFonts w:cs="Times New Roman" w:ascii="Times New Roman" w:hAnsi="Times New Roman"/>
          <w:b/>
          <w:sz w:val="23"/>
          <w:szCs w:val="23"/>
          <w:lang w:val="uk-UA"/>
        </w:rPr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Державне підприємство “СЕТАМ”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 (далі -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Оператор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), яке знаходиться у переліку осіб, відібраних Фондом гарантування вкладів фізичних осіб за напрямом діяльності «Організація відкритих торгів (аукціонів)», затвердженому рішенням виконавчої дирекції Фонду №2794 від 16 жовтня 2018 року, та у переліку 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uk-UA"/>
        </w:rPr>
        <w:t>операторів електронних майданчиків для організації проведення електронних аукціонів з продажу об’єктів малої приватизації, відібраних відповідно до наказу Державного підприємства «ПРОЗОРРО.ПРОДАЖІ» №40 від 24.10.2018 року</w:t>
      </w:r>
      <w:r>
        <w:rPr>
          <w:rFonts w:cs="Times New Roman" w:ascii="Times New Roman" w:hAnsi="Times New Roman"/>
          <w:sz w:val="24"/>
          <w:szCs w:val="24"/>
          <w:lang w:val="uk-UA"/>
        </w:rPr>
        <w:t>, в особі генерального директора Вишньова Віктора Михайловича, який діє на підставі Статуту, з однієї сторони, та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_____________________________________________________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, (далі - </w:t>
      </w:r>
      <w:r>
        <w:rPr>
          <w:rFonts w:cs="Times New Roman" w:ascii="Times New Roman" w:hAnsi="Times New Roman"/>
          <w:b/>
          <w:sz w:val="24"/>
          <w:szCs w:val="24"/>
          <w:lang w:val="uk-UA"/>
        </w:rPr>
        <w:t>Користувач</w:t>
      </w:r>
      <w:r>
        <w:rPr>
          <w:rFonts w:cs="Times New Roman" w:ascii="Times New Roman" w:hAnsi="Times New Roman"/>
          <w:sz w:val="24"/>
          <w:szCs w:val="24"/>
          <w:lang w:val="uk-UA"/>
        </w:rPr>
        <w:t>), в особі ___________________________________, який діє на підставі ______________, з іншої сторони, надалі разом іменовані - Сторони, уклали цей Договір приєднання (далі - Договір приєднання, Договір) про наступне: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uk-UA"/>
        </w:rPr>
        <w:t>1. ЗАГАЛЬНІ ПОЛОЖЕННЯ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w w:val="90"/>
          <w:sz w:val="24"/>
          <w:szCs w:val="24"/>
          <w:lang w:val="uk-UA" w:bidi="zxx"/>
        </w:rPr>
        <w:tab/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 xml:space="preserve">1.1.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Цей Договір є договором приєднання, що укладається з урахуванням вимог статей 633, 634, 641 та 642 Цивільного Кодексу України та є рівносильним Договору, підписаному сторонами. </w:t>
      </w:r>
    </w:p>
    <w:p>
      <w:pPr>
        <w:pStyle w:val="Style21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ab/>
        <w:t xml:space="preserve">1.2.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Фактом приєднання Користувача до умов цього Договору (акцептування договору) є вчинення Користувачем будь-яких дій, які засвідчують його бажання укласти Договір, зокрема, реєстрація Користувача на сайті </w:t>
      </w:r>
      <w:hyperlink r:id="rId2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</w:rPr>
          <w:t>:/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/</w:t>
        </w:r>
        <w:r>
          <w:rPr>
            <w:rStyle w:val="Style18"/>
            <w:rFonts w:cs="Times New Roman" w:ascii="Times New Roman" w:hAnsi="Times New Roman"/>
            <w:b w:val="false"/>
            <w:bCs w:val="false"/>
            <w:color w:val="000000"/>
            <w:w w:val="90"/>
            <w:sz w:val="24"/>
            <w:szCs w:val="24"/>
            <w:highlight w:val="white"/>
            <w:lang w:val="en-US" w:bidi="zxx"/>
          </w:rPr>
          <w:t>npl</w:t>
        </w:r>
        <w:r>
          <w:rPr>
            <w:rStyle w:val="Style14"/>
            <w:rFonts w:cs="Times New Roman" w:ascii="Times New Roman" w:hAnsi="Times New Roman"/>
            <w:b w:val="false"/>
            <w:bCs w:val="false"/>
            <w:color w:val="000000"/>
            <w:w w:val="90"/>
            <w:sz w:val="24"/>
            <w:szCs w:val="24"/>
            <w:highlight w:val="white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setam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net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.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ua</w:t>
        </w:r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/</w:t>
        </w:r>
      </w:hyperlink>
      <w:r>
        <w:rPr>
          <w:rStyle w:val="Style14"/>
          <w:rFonts w:cs="Times New Roman" w:ascii="Times New Roman" w:hAnsi="Times New Roman"/>
          <w:color w:val="000000"/>
          <w:w w:val="90"/>
          <w:sz w:val="24"/>
          <w:szCs w:val="24"/>
          <w:highlight w:val="white"/>
          <w:u w:val="none"/>
          <w:lang w:val="ru-RU"/>
        </w:rPr>
        <w:t xml:space="preserve"> </w:t>
      </w:r>
      <w:r>
        <w:rPr>
          <w:rStyle w:val="Style14"/>
          <w:rFonts w:cs="Times New Roman" w:ascii="Times New Roman" w:hAnsi="Times New Roman"/>
          <w:color w:val="000000"/>
          <w:w w:val="90"/>
          <w:sz w:val="24"/>
          <w:szCs w:val="24"/>
          <w:highlight w:val="white"/>
          <w:u w:val="none"/>
          <w:lang w:val="uk-UA"/>
        </w:rPr>
        <w:t xml:space="preserve">(далі — Веб-сайт)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та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(або)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сплата платежу за ідентифікацію особи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 xml:space="preserve">Користувача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>на умовах та в порядку, визначеними цим Договором.</w:t>
      </w:r>
    </w:p>
    <w:p>
      <w:pPr>
        <w:pStyle w:val="Style21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ab/>
        <w:t>1.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3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. Цей Договір укладається шляхом надання повної й безумовної згоди (акцепту)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Користувача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на укладення Договору в повному обсязі, без підпису письмового примірника Договору Сторонами.</w:t>
      </w:r>
    </w:p>
    <w:p>
      <w:pPr>
        <w:pStyle w:val="Style21"/>
        <w:spacing w:lineRule="auto" w:line="240" w:before="0"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ab/>
        <w:t>1.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4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Укладаючи цей Договір.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Користувач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автоматично погоджується з повним та безумовним прийняттям положень цього Договору, 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та з умовами користування веб-сайтом Оператора.</w:t>
      </w:r>
    </w:p>
    <w:p>
      <w:pPr>
        <w:pStyle w:val="Style21"/>
        <w:spacing w:lineRule="auto" w:line="240" w:before="0" w:after="0"/>
        <w:jc w:val="both"/>
        <w:rPr>
          <w:rFonts w:ascii="Times New Roman" w:hAnsi="Times New Roman" w:cs="Times New Roman"/>
          <w:color w:val="000000"/>
          <w:w w:val="90"/>
          <w:sz w:val="24"/>
          <w:szCs w:val="24"/>
          <w:lang w:bidi="zxx"/>
        </w:rPr>
      </w:pP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ab/>
        <w:t>1.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>5.</w:t>
      </w:r>
      <w:r>
        <w:rPr>
          <w:rFonts w:cs="Times New Roman" w:ascii="Times New Roman" w:hAnsi="Times New Roman"/>
          <w:color w:val="000000"/>
          <w:w w:val="90"/>
          <w:sz w:val="24"/>
          <w:szCs w:val="24"/>
          <w:lang w:bidi="zxx"/>
        </w:rPr>
        <w:t xml:space="preserve"> Всі умови Договору є обов’язковими для Сторін.</w:t>
      </w:r>
    </w:p>
    <w:p>
      <w:pPr>
        <w:pStyle w:val="Style21"/>
        <w:spacing w:lineRule="auto" w:line="240" w:before="0" w:after="0"/>
        <w:ind w:hanging="0"/>
        <w:jc w:val="both"/>
        <w:rPr>
          <w:rFonts w:ascii="Times New Roman" w:hAnsi="Times New Roman" w:cs="Times New Roman"/>
          <w:color w:val="000000"/>
          <w:w w:val="90"/>
          <w:sz w:val="24"/>
          <w:szCs w:val="24"/>
          <w:lang w:bidi="zxx"/>
        </w:rPr>
      </w:pPr>
      <w:r>
        <w:rPr>
          <w:rFonts w:cs="Times New Roman" w:ascii="Times New Roman" w:hAnsi="Times New Roman"/>
          <w:color w:val="000000"/>
          <w:w w:val="90"/>
          <w:sz w:val="24"/>
          <w:szCs w:val="24"/>
          <w:lang w:val="uk-UA" w:bidi="zxx"/>
        </w:rPr>
        <w:tab/>
        <w:t>1.6. Замовник надає згоду на обробку його персональних даних відповідно до Закону України "Про захист персональних даних".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2. ПРЕДМЕТ ДОГОВОРУ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2.1. Укладанням цього Договору, Користувач на підставі вільного волевиявлення приєднується до умов Регламенту роботи електронної торгової системи щодо організації та проведення відкритих торгів (аукціонів) з продажу активів (майна) банків, що виводяться з ринку та банків, що ліквідуються та/або Регламенту роботи електронної торгової системи для проведення електронного аукціон</w:t>
      </w:r>
      <w:r>
        <w:rPr>
          <w:rFonts w:cs="Times New Roman" w:ascii="Times New Roman" w:hAnsi="Times New Roman"/>
          <w:color w:val="000000"/>
          <w:sz w:val="24"/>
          <w:szCs w:val="24"/>
          <w:lang w:val="uk-UA"/>
        </w:rPr>
        <w:t>у, який складається з автоматичного покрокового зниження початкової (стартової) ціни лоту, етапів подання закритих цінових  пропозицій та цінової пропозиції для продажу активів (майна) банків, що виводяться з ринку або ліквідуються, та/або Регламенту роботи електронної торгової системи щодо проведення публічних торгів (аукціонів) з продажу/оренди майна (активів), (далі разом іменуються  - Регламент), а Оператор надає Користувачу послуги з використання елек</w:t>
      </w:r>
      <w:r>
        <w:rPr>
          <w:rFonts w:cs="Times New Roman" w:ascii="Times New Roman" w:hAnsi="Times New Roman"/>
          <w:sz w:val="24"/>
          <w:szCs w:val="24"/>
          <w:lang w:val="uk-UA"/>
        </w:rPr>
        <w:t xml:space="preserve">тронного майданчика ДП “СЕТАМ” (далі - Електронний майданчик), який розташований в мережі Інтернет за веб-адресою: </w:t>
      </w:r>
      <w:hyperlink r:id="rId3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http</w:t>
        </w:r>
      </w:hyperlink>
      <w:r>
        <w:rPr>
          <w:rStyle w:val="Style14"/>
          <w:rFonts w:cs="Times New Roman" w:ascii="Times New Roman" w:hAnsi="Times New Roman"/>
          <w:color w:val="000000"/>
          <w:w w:val="90"/>
          <w:sz w:val="24"/>
          <w:szCs w:val="24"/>
          <w:highlight w:val="white"/>
          <w:lang w:val="en-US"/>
        </w:rPr>
        <w:t>s</w:t>
      </w:r>
      <w:hyperlink r:id="rId4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lang w:val="uk-UA"/>
          </w:rPr>
          <w:t>:/</w:t>
        </w:r>
      </w:hyperlink>
      <w:r>
        <w:rPr>
          <w:rStyle w:val="Style14"/>
          <w:rFonts w:cs="Times New Roman" w:ascii="Times New Roman" w:hAnsi="Times New Roman"/>
          <w:color w:val="000000"/>
          <w:w w:val="90"/>
          <w:sz w:val="24"/>
          <w:szCs w:val="24"/>
          <w:highlight w:val="white"/>
          <w:lang w:val="ru-RU"/>
        </w:rPr>
        <w:t>/</w:t>
      </w:r>
      <w:hyperlink r:id="rId5">
        <w:r>
          <w:rPr>
            <w:rStyle w:val="Style18"/>
            <w:rFonts w:cs="Times New Roman" w:ascii="Times New Roman" w:hAnsi="Times New Roman"/>
            <w:b w:val="false"/>
            <w:bCs w:val="false"/>
            <w:color w:val="000000"/>
            <w:w w:val="90"/>
            <w:sz w:val="24"/>
            <w:szCs w:val="24"/>
            <w:highlight w:val="white"/>
            <w:lang w:val="en-US" w:bidi="zxx"/>
          </w:rPr>
          <w:t>n</w:t>
        </w:r>
      </w:hyperlink>
      <w:r>
        <w:rPr>
          <w:rStyle w:val="Style18"/>
          <w:rFonts w:cs="Times New Roman" w:ascii="Times New Roman" w:hAnsi="Times New Roman"/>
          <w:b w:val="false"/>
          <w:bCs w:val="false"/>
          <w:color w:val="000000"/>
          <w:w w:val="90"/>
          <w:sz w:val="24"/>
          <w:szCs w:val="24"/>
          <w:highlight w:val="white"/>
          <w:lang w:val="en-US" w:bidi="zxx"/>
        </w:rPr>
        <w:t>pl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w w:val="90"/>
          <w:sz w:val="24"/>
          <w:szCs w:val="24"/>
          <w:highlight w:val="white"/>
          <w:lang w:val="ru-RU"/>
        </w:rPr>
        <w:t>.</w:t>
      </w:r>
      <w:hyperlink r:id="rId6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setam</w:t>
        </w:r>
      </w:hyperlink>
      <w:hyperlink r:id="rId7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.</w:t>
        </w:r>
      </w:hyperlink>
      <w:hyperlink r:id="rId8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net</w:t>
        </w:r>
      </w:hyperlink>
      <w:hyperlink r:id="rId9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.</w:t>
        </w:r>
      </w:hyperlink>
      <w:hyperlink r:id="rId10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en-US"/>
          </w:rPr>
          <w:t>ua</w:t>
        </w:r>
      </w:hyperlink>
      <w:hyperlink r:id="rId11">
        <w:r>
          <w:rPr>
            <w:rStyle w:val="Style14"/>
            <w:rFonts w:cs="Times New Roman" w:ascii="Times New Roman" w:hAnsi="Times New Roman"/>
            <w:color w:val="000000"/>
            <w:w w:val="90"/>
            <w:sz w:val="24"/>
            <w:szCs w:val="24"/>
            <w:highlight w:val="white"/>
            <w:lang w:val="ru-RU"/>
          </w:rPr>
          <w:t>/</w:t>
        </w:r>
      </w:hyperlink>
      <w:r>
        <w:rPr>
          <w:rStyle w:val="Style14"/>
          <w:rFonts w:cs="Times New Roman" w:ascii="Times New Roman" w:hAnsi="Times New Roman"/>
          <w:color w:val="000000"/>
          <w:w w:val="90"/>
          <w:sz w:val="24"/>
          <w:szCs w:val="24"/>
          <w:highlight w:val="white"/>
          <w:lang w:val="uk-UA"/>
        </w:rPr>
        <w:t>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2.2. Загальні умови, склад та перелік послуг, що надаються Користувачу Оператором визначаються Регламентом.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2.3. Укладанням цього Договору, Користувач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приймає умови Регламенту і всі його додатки в редакції, чинній на момент укладання цього Договору, а також усі подальші зміни (доповнення), що вносяться до Регламенту, відповідно до умов цього Регламенту.</w:t>
      </w:r>
    </w:p>
    <w:p>
      <w:pPr>
        <w:pStyle w:val="Normal"/>
        <w:spacing w:before="0" w:after="0"/>
        <w:ind w:firstLine="709"/>
        <w:contextualSpacing/>
        <w:jc w:val="both"/>
        <w:rPr/>
      </w:pPr>
      <w:bookmarkStart w:id="0" w:name="_GoBack"/>
      <w:bookmarkEnd w:id="0"/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2.4. </w:t>
      </w:r>
      <w:r>
        <w:rPr>
          <w:rFonts w:eastAsia="Times New Roman" w:ascii="Times New Roman" w:hAnsi="Times New Roman"/>
          <w:b w:val="false"/>
          <w:i w:val="false"/>
          <w:caps w:val="false"/>
          <w:smallCaps w:val="false"/>
          <w:color w:val="0A0A0A"/>
          <w:spacing w:val="0"/>
          <w:sz w:val="24"/>
          <w:szCs w:val="24"/>
          <w:lang w:val="uk-UA" w:eastAsia="ru-RU"/>
        </w:rPr>
        <w:t>Послуги надаються Користувачам безкоштовно або за плату (винагороду) у порядку та розмірах, визначених цим Договором у відповідності до законодавства, регламенту та/або рішень Адміністратора та/або замовника електронних торгів.</w:t>
      </w: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spacing w:before="0" w:after="0"/>
        <w:ind w:firstLine="709"/>
        <w:contextualSpacing/>
        <w:jc w:val="center"/>
        <w:rPr>
          <w:rFonts w:ascii="Times New Roman" w:hAnsi="Times New Roman" w:cs="Times New Roman"/>
          <w:b/>
          <w:b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  <w:t>3. УМОВИ КОРИСТУВАННЯ ЕЛЕКТРОННИМ МАЙДАНЧИКОМ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3.1. Будь-яка особа приймає рішення про використання Електронного майданчику в якості Користувача на власний розсуд та під свою відповідальність.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3.2. Оператор забезпечує рівний доступ усім користувачам до інформації про відкриті торги (аукціони), включаючи надання можливості спостерігати за перебігом аукціону в інтерактивному режимі реального часу, інформацією про процедури торгів, точне визначення часу та дати подання документів.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3.3. Користувач Електронного майданчику з метою участі у торгах повинен відповідати вимогам, встановленим Регламентом та законодавством, сплатити гарантійний та/або реєстраційний внесок, пройти процедуру реєстрації та ідентифікації для участі в торгах відповідно до Регламенту та отримати відповідне підтвердження про реєстрацію та індивідуальний код учасника.</w:t>
      </w:r>
    </w:p>
    <w:p>
      <w:pPr>
        <w:pStyle w:val="NormalWeb"/>
        <w:spacing w:lineRule="auto" w:line="276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3.4. </w:t>
      </w:r>
      <w:r>
        <w:rPr>
          <w:i/>
          <w:iCs/>
          <w:sz w:val="24"/>
          <w:szCs w:val="24"/>
          <w:lang w:val="uk-UA"/>
        </w:rPr>
        <w:t>Користувач-фізична особа</w:t>
      </w:r>
      <w:r>
        <w:rPr>
          <w:sz w:val="24"/>
          <w:szCs w:val="24"/>
          <w:lang w:val="uk-UA"/>
        </w:rPr>
        <w:t xml:space="preserve"> при реєстрації на Електронному майданчику зобов’язаний завантажити завірені сканкопії власного паспорту та реєстраційного номеру облікової картки платника податків для підтвердження достовірності ідентифікаційної інформації, наданої Користувачем, що має намір взяти участь в електронних торгах. Недостовірність наданої інформації є підставою для відмови такому Користувачу у доступі до участі у електронному аукціоні.</w:t>
      </w:r>
    </w:p>
    <w:p>
      <w:pPr>
        <w:pStyle w:val="NormalWeb"/>
        <w:spacing w:lineRule="auto" w:line="276" w:before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3.5. </w:t>
      </w:r>
      <w:r>
        <w:rPr>
          <w:i/>
          <w:iCs/>
          <w:sz w:val="24"/>
          <w:szCs w:val="24"/>
          <w:lang w:val="uk-UA"/>
        </w:rPr>
        <w:t>Користувач-юридична особа</w:t>
      </w:r>
      <w:r>
        <w:rPr>
          <w:sz w:val="24"/>
          <w:szCs w:val="24"/>
          <w:lang w:val="uk-UA"/>
        </w:rPr>
        <w:t xml:space="preserve"> при реєстрації на Електронному майданчику зобов’</w:t>
      </w:r>
      <w:r>
        <w:rPr>
          <w:sz w:val="24"/>
          <w:szCs w:val="24"/>
          <w:lang w:val="ru-RU"/>
        </w:rPr>
        <w:t>язана сплатити на рахунок Оператора плат</w:t>
      </w:r>
      <w:r>
        <w:rPr>
          <w:sz w:val="24"/>
          <w:szCs w:val="24"/>
          <w:lang w:val="uk-UA"/>
        </w:rPr>
        <w:t>іж в розмірі 12,00 грн з ПДВ для підтвердження достовірності ідентифікаційної інформації, наданої Користувачем, що має намір взяти участь в електронних торгах. Несплата зазначеного платежу є підставою для відмови такому Користувачу у доступі до електронних аукціонів.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3.6. Здійснення Користувачем реєстрації на Електронному майданчику є повним та безумовним акцептом оферти на укладення цього Договору.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center"/>
        <w:rPr>
          <w:b/>
          <w:b/>
          <w:bCs/>
        </w:rPr>
      </w:pPr>
      <w:r>
        <w:rPr>
          <w:b/>
          <w:bCs/>
          <w:sz w:val="22"/>
          <w:szCs w:val="22"/>
          <w:lang w:val="uk-UA"/>
        </w:rPr>
        <w:t>4. ЦІНА ДОГОВОРУ ТА УМОВИ ОПЛАТИ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/>
      </w:pPr>
      <w:r>
        <w:rPr>
          <w:b w:val="false"/>
          <w:bCs w:val="false"/>
          <w:sz w:val="22"/>
          <w:szCs w:val="22"/>
          <w:lang w:val="uk-UA"/>
        </w:rPr>
        <w:t>4.1.</w:t>
      </w:r>
      <w:r>
        <w:rPr>
          <w:b/>
          <w:sz w:val="22"/>
          <w:szCs w:val="22"/>
          <w:lang w:val="uk-UA"/>
        </w:rPr>
        <w:t xml:space="preserve"> </w:t>
      </w:r>
      <w:r>
        <w:rPr>
          <w:b w:val="false"/>
          <w:i w:val="false"/>
          <w:caps w:val="false"/>
          <w:smallCaps w:val="false"/>
          <w:color w:val="0A0A0A"/>
          <w:spacing w:val="0"/>
          <w:sz w:val="24"/>
        </w:rPr>
        <w:t>Ціна Договору становить грошову винагороду Оператора, що сплачується переможцем електронних торгів та встановлюється у розмірах, визначених Замовником аукціону або згідно Тарифів, які є додатком до цього Договору.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rFonts w:ascii="Times New Roman" w:hAnsi="Times New Roman"/>
        </w:rPr>
      </w:pPr>
      <w:r>
        <w:rPr/>
      </w:r>
    </w:p>
    <w:p>
      <w:pPr>
        <w:pStyle w:val="Normal"/>
        <w:spacing w:before="0" w:after="0"/>
        <w:contextualSpacing/>
        <w:jc w:val="center"/>
        <w:rPr/>
      </w:pPr>
      <w:r>
        <w:rPr>
          <w:rFonts w:cs="Times New Roman" w:ascii="Times New Roman" w:hAnsi="Times New Roman"/>
          <w:b/>
          <w:lang w:val="uk-UA"/>
        </w:rPr>
        <w:t>5. ВІДПОВІДАЛЬНІСТЬ СТОРІН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4.1. За невиконання або неналежне виконання обов’язків за Договором Сторони несуть відповідальність згідно з цим Договором, Регламентом та законодавством України.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4.2. За будь-які несанкціоновані дії на Електронному майданчику з використанням ім’я (логіна) та паролю Користувача всю відповідальність перед Оператором та перед іншими учасниками несе Користувач.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4.3. Оператор не несе відповідальності за порушення обміну інформацією, що виникло внаслідок несправності будь-яких засобів телекомунікаційного зв’язку, відключення та перебоїв у мережах живлення, роботі веб-поталу, невідповідність апаратно-технічного комплексу Користувача для роботи на Електронному майданчику.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4.4. У pазі надання Користувачем при реєстрації та/або ідентифікації недостовірних даних та/або недостовірних документів, Оператор не несе відповідальності за пов’язані з цим наслідки.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4.5. Спірні питання, що виникають між Сторонами у процесі виконання Договору вивішуються шляхом проведення переговорів, а у pазі недосягнення згоди - згідно з законодавством України.</w:t>
      </w:r>
    </w:p>
    <w:p>
      <w:pPr>
        <w:pStyle w:val="Normal"/>
        <w:spacing w:before="0" w:after="0"/>
        <w:ind w:firstLine="70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uk-UA"/>
        </w:rPr>
        <w:t>4.6. Жодна із Сторін не несе відповідальності за повне або часткове невиконання своїх обов'язків у випадку пожежі, повені, землетрусу чи іншого стихійного лиха, масових безпорядків, війни або воєнних дій тощо, що виникли після укладання цього Договору. Форс-мажорні обставини призупиняють, але не припиняють дію цього Договору, і не звільняють сторони від виконання своїх зобов'язань. Форс-мажорні обставини повинні підтверджуватись у порядку, визначеному законодавством.</w:t>
      </w:r>
    </w:p>
    <w:p>
      <w:pPr>
        <w:pStyle w:val="Normal"/>
        <w:spacing w:before="0" w:after="0"/>
        <w:ind w:firstLine="709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Web"/>
        <w:spacing w:beforeAutospacing="0" w:before="0" w:afterAutospacing="0" w:after="0"/>
        <w:contextualSpacing/>
        <w:jc w:val="center"/>
        <w:rPr/>
      </w:pPr>
      <w:r>
        <w:rPr>
          <w:rStyle w:val="Strong"/>
          <w:sz w:val="24"/>
          <w:szCs w:val="24"/>
          <w:lang w:val="uk-UA"/>
        </w:rPr>
        <w:t>5. СТРОК ДІЇ ДОГОВОРУ</w:t>
      </w:r>
    </w:p>
    <w:p>
      <w:pPr>
        <w:pStyle w:val="NormalWeb"/>
        <w:spacing w:lineRule="auto" w:line="276" w:beforeAutospacing="0" w:before="0" w:afterAutospacing="0" w:after="0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5.1. Договір набирає чинності з моменту його укладення (підписання) Сторонами (акцепту його публічної оферти) і діє до повного виконання обов'язків Сторонами.</w:t>
      </w:r>
    </w:p>
    <w:p>
      <w:pPr>
        <w:pStyle w:val="NormalWeb"/>
        <w:spacing w:lineRule="auto" w:line="276" w:beforeAutospacing="0" w:before="0" w:afterAutospacing="0" w:after="0"/>
        <w:contextualSpacing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Web"/>
        <w:spacing w:before="0" w:after="200"/>
        <w:contextualSpacing/>
        <w:jc w:val="center"/>
        <w:rPr/>
      </w:pPr>
      <w:r>
        <w:rPr>
          <w:rStyle w:val="Strong"/>
          <w:sz w:val="24"/>
          <w:szCs w:val="24"/>
          <w:lang w:val="uk-UA"/>
        </w:rPr>
        <w:t>6. ЗАКЛЮЧНІ ПОЛОЖЕННЯ</w:t>
      </w:r>
    </w:p>
    <w:p>
      <w:pPr>
        <w:pStyle w:val="NormalWeb"/>
        <w:spacing w:lineRule="auto" w:line="276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6.1. Актуальна редакція даного Договору та посилання на чинну редакцію Регламенту знаходяться у вільному доступі на Веб-сайті Оператора.</w:t>
      </w:r>
    </w:p>
    <w:p>
      <w:pPr>
        <w:pStyle w:val="NormalWeb"/>
        <w:spacing w:lineRule="auto" w:line="276" w:before="0" w:after="200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6.2. Внесення змін та доповнень до Договору, у тому числі Регламенту, здійснюється Оператором або Замовником чи Адміністратором  в односторонньому порядку.</w:t>
      </w:r>
    </w:p>
    <w:p>
      <w:pPr>
        <w:pStyle w:val="NormalWeb"/>
        <w:tabs>
          <w:tab w:val="clear" w:pos="708"/>
          <w:tab w:val="left" w:pos="426" w:leader="none"/>
        </w:tabs>
        <w:spacing w:lineRule="auto" w:line="276" w:before="0" w:after="200"/>
        <w:ind w:firstLine="709"/>
        <w:contextualSpacing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>6.3. Представники Сторін, уповноваженні на укладання цього Договору, погодились, що персональні дані, які стали відомі Сторонам в зв'язку з укладанням цього Договору, включаються до баз персональних даних Сторін. Укладаючи даний Договір, уповноважені представники Сторін дають згоду (дозвіл) на обробку їх персональних даних з метою підтвердження повноваження суб'єкта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відносин, у тому числі для поширення (розповсюдження та/або оприлюднення) таких даних на Електронному майданчику.</w:t>
      </w:r>
    </w:p>
    <w:p>
      <w:pPr>
        <w:pStyle w:val="NormalWeb"/>
        <w:spacing w:lineRule="auto" w:line="276" w:before="0" w:after="20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6.4. Передача персональних даних третім особам здійснюється лише у випадках передбачених законодавством України. Передача персональних даних третім особам, у випадках не передбаченим законодавством, здійснюється лише за згодою Сторін.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>
      <w:pPr>
        <w:pStyle w:val="NormalWeb"/>
        <w:spacing w:before="0" w:after="200"/>
        <w:contextualSpacing/>
        <w:rPr>
          <w:rStyle w:val="Strong"/>
          <w:sz w:val="23"/>
          <w:szCs w:val="23"/>
          <w:lang w:val="uk-UA"/>
        </w:rPr>
      </w:pPr>
      <w:r>
        <w:rPr>
          <w:sz w:val="23"/>
          <w:szCs w:val="23"/>
          <w:lang w:val="uk-UA"/>
        </w:rPr>
      </w:r>
    </w:p>
    <w:p>
      <w:pPr>
        <w:pStyle w:val="NormalWeb"/>
        <w:spacing w:before="0" w:after="200"/>
        <w:contextualSpacing/>
        <w:jc w:val="center"/>
        <w:rPr>
          <w:rStyle w:val="Strong"/>
          <w:sz w:val="23"/>
          <w:szCs w:val="23"/>
          <w:lang w:val="uk-UA"/>
        </w:rPr>
      </w:pPr>
      <w:r>
        <w:rPr>
          <w:rStyle w:val="Strong"/>
          <w:sz w:val="23"/>
          <w:szCs w:val="23"/>
          <w:lang w:val="uk-UA"/>
        </w:rPr>
        <w:t>7. РЕКВІЗИТИ СТОРІН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222222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222222"/>
          <w:sz w:val="22"/>
          <w:szCs w:val="22"/>
          <w:lang w:val="uk-UA"/>
        </w:rPr>
        <w:t>Державне підприємство «СЕТАМ»</w:t>
      </w:r>
    </w:p>
    <w:p>
      <w:pPr>
        <w:pStyle w:val="Normal"/>
        <w:ind w:left="175" w:right="0" w:hanging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Код ЄДРПОУ 39958500</w:t>
      </w:r>
    </w:p>
    <w:p>
      <w:pPr>
        <w:pStyle w:val="Normal"/>
        <w:ind w:left="175" w:right="0" w:hanging="0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Місцезнаходження: 01001, м. Київ, вул. Стрілецька, буд. 4-6</w:t>
      </w:r>
    </w:p>
    <w:p>
      <w:pPr>
        <w:pStyle w:val="Normal"/>
        <w:ind w:left="175" w:right="0" w:hanging="0"/>
        <w:jc w:val="both"/>
        <w:rPr/>
      </w:pPr>
      <w:r>
        <w:rPr>
          <w:rStyle w:val="Style18"/>
          <w:rFonts w:cs="Times New Roman" w:ascii="Times New Roman" w:hAnsi="Times New Roman"/>
          <w:bCs/>
          <w:iCs/>
          <w:color w:val="000000"/>
          <w:sz w:val="22"/>
          <w:szCs w:val="22"/>
          <w:highlight w:val="white"/>
          <w:shd w:fill="FFFFFF" w:val="clear"/>
          <w:lang w:val="uk-UA"/>
        </w:rPr>
        <w:t xml:space="preserve">п/р </w:t>
      </w:r>
      <w:hyperlink r:id="rId12">
        <w:r>
          <w:rPr>
            <w:rStyle w:val="Style18"/>
            <w:rFonts w:cs="Times New Roman" w:ascii="Times New Roman" w:hAnsi="Times New Roman"/>
            <w:bCs/>
            <w:iCs/>
            <w:color w:val="000000"/>
            <w:sz w:val="22"/>
            <w:szCs w:val="22"/>
            <w:highlight w:val="white"/>
            <w:shd w:fill="FFFFFF" w:val="clear"/>
            <w:lang w:val="uk-UA"/>
          </w:rPr>
          <w:t>26005052631126</w:t>
        </w:r>
      </w:hyperlink>
      <w:r>
        <w:rPr>
          <w:rStyle w:val="Style18"/>
          <w:rFonts w:cs="Times New Roman" w:ascii="Times New Roman" w:hAnsi="Times New Roman"/>
          <w:bCs/>
          <w:iCs/>
          <w:color w:val="000000"/>
          <w:sz w:val="22"/>
          <w:szCs w:val="22"/>
          <w:highlight w:val="white"/>
          <w:shd w:fill="FFFFFF" w:val="clear"/>
          <w:lang w:val="uk-UA"/>
        </w:rPr>
        <w:t xml:space="preserve">  в АТ КБ “Приватбанк”,</w:t>
      </w:r>
    </w:p>
    <w:p>
      <w:pPr>
        <w:pStyle w:val="Normal"/>
        <w:ind w:left="175" w:right="0" w:hanging="0"/>
        <w:jc w:val="both"/>
        <w:rPr/>
      </w:pPr>
      <w:r>
        <w:rPr>
          <w:rStyle w:val="Style18"/>
          <w:rFonts w:cs="Times New Roman" w:ascii="Times New Roman" w:hAnsi="Times New Roman"/>
          <w:bCs/>
          <w:iCs/>
          <w:color w:val="000000"/>
          <w:sz w:val="22"/>
          <w:szCs w:val="22"/>
          <w:highlight w:val="white"/>
          <w:shd w:fill="FFFFFF" w:val="clear"/>
          <w:lang w:val="uk-UA"/>
        </w:rPr>
        <w:t>МФО 300711</w:t>
      </w:r>
    </w:p>
    <w:p>
      <w:pPr>
        <w:pStyle w:val="Normal"/>
        <w:ind w:left="175" w:right="0" w:hanging="0"/>
        <w:jc w:val="both"/>
        <w:rPr/>
      </w:pPr>
      <w:r>
        <w:rPr>
          <w:rStyle w:val="Style18"/>
          <w:rFonts w:eastAsia="Times New Roman" w:cs="Times New Roman" w:ascii="Times New Roman" w:hAnsi="Times New Roman"/>
          <w:color w:val="000000"/>
          <w:sz w:val="22"/>
          <w:szCs w:val="22"/>
          <w:lang w:val="uk-UA"/>
        </w:rPr>
        <w:t xml:space="preserve"> </w:t>
      </w:r>
      <w:r>
        <w:rPr>
          <w:rStyle w:val="Style18"/>
          <w:rFonts w:cs="Times New Roman" w:ascii="Times New Roman" w:hAnsi="Times New Roman"/>
          <w:color w:val="000000"/>
          <w:sz w:val="22"/>
          <w:szCs w:val="22"/>
          <w:lang w:val="uk-UA"/>
        </w:rPr>
        <w:t>Платник податку на загальних підставах</w:t>
      </w:r>
    </w:p>
    <w:p>
      <w:pPr>
        <w:pStyle w:val="Normal"/>
        <w:ind w:left="175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color w:val="000000"/>
          <w:sz w:val="22"/>
          <w:szCs w:val="22"/>
          <w:lang w:val="uk-UA"/>
        </w:rPr>
        <w:t>ІПН: 399585026592</w:t>
      </w:r>
    </w:p>
    <w:p>
      <w:pPr>
        <w:pStyle w:val="3"/>
        <w:shd w:val="clear" w:fill="FFFFFF"/>
        <w:spacing w:lineRule="atLeast" w:line="100" w:before="0" w:after="0"/>
        <w:ind w:left="60" w:right="2" w:hanging="0"/>
        <w:jc w:val="both"/>
        <w:rPr>
          <w:rStyle w:val="Style18"/>
          <w:rFonts w:ascii="Times New Roman" w:hAnsi="Times New Roman" w:cs="Times New Roman"/>
          <w:color w:val="000000"/>
          <w:sz w:val="22"/>
          <w:szCs w:val="22"/>
          <w:highlight w:val="white"/>
          <w:lang w:val="uk-UA"/>
        </w:rPr>
      </w:pPr>
      <w:r>
        <w:rPr>
          <w:rFonts w:cs="Times New Roman" w:ascii="Times New Roman" w:hAnsi="Times New Roman"/>
          <w:color w:val="000000"/>
          <w:sz w:val="22"/>
          <w:szCs w:val="22"/>
          <w:highlight w:val="white"/>
          <w:lang w:val="uk-UA"/>
        </w:rPr>
      </w:r>
    </w:p>
    <w:p>
      <w:pPr>
        <w:pStyle w:val="Normal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Генеральний директор</w:t>
      </w:r>
    </w:p>
    <w:p>
      <w:pPr>
        <w:pStyle w:val="Normal"/>
        <w:spacing w:before="0" w:after="200"/>
        <w:ind w:left="175" w:right="0" w:hanging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____________________ В.М. Вишньов</w:t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right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Додаток №1</w:t>
      </w:r>
    </w:p>
    <w:p>
      <w:pPr>
        <w:pStyle w:val="Normal"/>
        <w:spacing w:before="0" w:after="200"/>
        <w:ind w:left="175" w:right="0" w:hanging="0"/>
        <w:jc w:val="right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до Договору приєднання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ПЛАТА ЗА УЧАСТЬ В ЕЛЕКТРОННОМУ АУКЦІОНІ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З ПРОДАЖУ ОБ’ЄКТІВ МАЛОЇ ПРИВАТИЗАЦІЇ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(винагорода Оператора)</w:t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tbl>
      <w:tblPr>
        <w:tblW w:w="9354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Ціна продажу об’єкта приватизаці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ї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Винагорода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 xml:space="preserve">з ПДВ,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% 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Понад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64 000 000 до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1,2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16 000 000 до  64 000 000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1,5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4 000 000 до 16 000 000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1,9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1 000 000 до 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2,4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До 1 000 000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</w:t>
            </w:r>
          </w:p>
        </w:tc>
      </w:tr>
    </w:tbl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 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ПЛАТА ЗА УЧАСТЬ В ЕЛЕКТРОННОМУ АУКЦІОНІ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З ПРОДАЖУ 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  </w:t>
      </w:r>
      <w:r>
        <w:rPr>
          <w:rFonts w:eastAsia="Calibri" w:cs="Times New Roman CYR" w:ascii="Times New Roman CYR" w:hAnsi="Times New Roman CYR"/>
          <w:b/>
          <w:bCs/>
          <w:color w:val="000000"/>
          <w:sz w:val="22"/>
          <w:szCs w:val="28"/>
          <w:lang w:val="uk-UA" w:eastAsia="uk-UA"/>
        </w:rPr>
        <w:t xml:space="preserve">активів (майна),  належних банкам, що ліквідуються відповідно до Закону України </w:t>
      </w:r>
      <w:r>
        <w:rPr>
          <w:rFonts w:eastAsia="Calibri" w:cs="Times New Roman" w:ascii="Times New Roman" w:hAnsi="Times New Roman"/>
          <w:b/>
          <w:bCs/>
          <w:color w:val="000000"/>
          <w:sz w:val="22"/>
          <w:szCs w:val="28"/>
          <w:lang w:val="uk-UA" w:eastAsia="uk-UA"/>
        </w:rPr>
        <w:t>«</w:t>
      </w:r>
      <w:r>
        <w:rPr>
          <w:rFonts w:eastAsia="Calibri" w:cs="Times New Roman CYR" w:ascii="Times New Roman CYR" w:hAnsi="Times New Roman CYR"/>
          <w:b/>
          <w:bCs/>
          <w:color w:val="000000"/>
          <w:sz w:val="22"/>
          <w:szCs w:val="28"/>
          <w:lang w:val="uk-UA" w:eastAsia="uk-UA"/>
        </w:rPr>
        <w:t>Про систему гарантування вкладів фізичних осіб</w:t>
      </w:r>
      <w:r>
        <w:rPr>
          <w:rFonts w:eastAsia="Calibri" w:cs="Times New Roman" w:ascii="Times New Roman" w:hAnsi="Times New Roman"/>
          <w:b/>
          <w:bCs/>
          <w:color w:val="000000"/>
          <w:sz w:val="22"/>
          <w:szCs w:val="28"/>
          <w:lang w:val="uk-UA" w:eastAsia="uk-UA"/>
        </w:rPr>
        <w:t xml:space="preserve">» , </w:t>
      </w:r>
      <w:r>
        <w:rPr>
          <w:rFonts w:eastAsia="Calibri" w:cs="Times New Roman CYR" w:ascii="Times New Roman CYR" w:hAnsi="Times New Roman CYR"/>
          <w:b/>
          <w:bCs/>
          <w:color w:val="000000"/>
          <w:sz w:val="22"/>
          <w:szCs w:val="28"/>
          <w:lang w:val="uk-UA" w:eastAsia="uk-UA"/>
        </w:rPr>
        <w:t xml:space="preserve">а також реалізації інших активів (майна), право реалізації яких належить ФГВФО </w:t>
      </w:r>
    </w:p>
    <w:p>
      <w:pPr>
        <w:pStyle w:val="Normal"/>
        <w:spacing w:before="0" w:after="200"/>
        <w:ind w:left="175" w:right="0" w:hanging="0"/>
        <w:jc w:val="center"/>
        <w:rPr/>
      </w:pPr>
      <w:r>
        <w:rPr>
          <w:rFonts w:eastAsia="Calibri" w:cs="Times New Roman CYR" w:ascii="Times New Roman CYR" w:hAnsi="Times New Roman CYR"/>
          <w:b w:val="false"/>
          <w:bCs w:val="false"/>
          <w:color w:val="000000"/>
          <w:sz w:val="22"/>
          <w:szCs w:val="28"/>
          <w:lang w:val="uk-UA" w:eastAsia="uk-UA"/>
        </w:rPr>
        <w:t>(згідно з Рішенням Виконавчої дирекції ФГВФО № 1898 від 05.07.2018 року)</w:t>
      </w:r>
    </w:p>
    <w:tbl>
      <w:tblPr>
        <w:tblW w:w="936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325"/>
        <w:gridCol w:w="2384"/>
        <w:gridCol w:w="1081"/>
        <w:gridCol w:w="1244"/>
        <w:gridCol w:w="1162"/>
        <w:gridCol w:w="1163"/>
      </w:tblGrid>
      <w:tr>
        <w:trPr/>
        <w:tc>
          <w:tcPr>
            <w:tcW w:w="4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Діапазон ціни продажу лота тис. грн</w:t>
            </w:r>
          </w:p>
        </w:tc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Граничний розмір винагороди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до (включно)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Права вимоги за кредитними договорами, дебіторська заборгованість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Основні засоби, майно банку у вигляді цілісного майнового комплексу, майно банку, щодо обороту якого встановлене обмеження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%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ціни продажу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але не більше, ніж тис.грн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%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ціни продажу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але не більше, ніж тис.грн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4,0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10 000,0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10 000,0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50 000,0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Понад 50 000,0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5 000,0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2 000,0</w:t>
            </w:r>
          </w:p>
        </w:tc>
      </w:tr>
    </w:tbl>
    <w:p>
      <w:pPr>
        <w:pStyle w:val="Normal"/>
        <w:spacing w:before="0" w:after="200"/>
        <w:ind w:left="175" w:right="0" w:hanging="0"/>
        <w:jc w:val="center"/>
        <w:rPr>
          <w:rFonts w:ascii="Times New Roman CYR" w:hAnsi="Times New Roman CYR" w:eastAsia="Calibri" w:cs="Times New Roman CYR"/>
          <w:szCs w:val="28"/>
          <w:lang w:eastAsia="uk-UA"/>
        </w:rPr>
      </w:pPr>
      <w:r>
        <w:rPr>
          <w:rFonts w:eastAsia="Calibri" w:cs="Times New Roman CYR" w:ascii="Times New Roman CYR" w:hAnsi="Times New Roman CYR"/>
          <w:szCs w:val="28"/>
          <w:lang w:eastAsia="uk-UA"/>
        </w:rPr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ПЛАТА ЗА УЧАСТЬ В ЕЛЕКТРОННОМУ АУКЦІОНІ</w:t>
      </w:r>
    </w:p>
    <w:p>
      <w:pPr>
        <w:pStyle w:val="Normal"/>
        <w:spacing w:before="0" w:after="200"/>
        <w:ind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з продажу/надання в оренду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майна (активів)/передачі права 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(винагорода Оператора)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tbl>
      <w:tblPr>
        <w:tblW w:w="9354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Ціна продажу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лота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Винагорода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 xml:space="preserve">з ПДВ,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% 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Понад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64 000 000 до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1,2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16 000 000 до  64 000 000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1,5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4 000 000 до 16 000 000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1,9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1 000 000 до 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2,4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До 1 000 000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</w:t>
            </w:r>
          </w:p>
        </w:tc>
      </w:tr>
    </w:tbl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ПЛАТА ЗА УЧАСТЬ В ЕЛЕКТРОННОМУ АУКЦІОНІ</w:t>
      </w:r>
    </w:p>
    <w:p>
      <w:pPr>
        <w:pStyle w:val="Normal"/>
        <w:spacing w:before="0" w:after="200"/>
        <w:ind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з продажу/надання в оренду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майна (активів)/передачі права організаторів приватної форми власності</w:t>
      </w:r>
    </w:p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  <w:t>(винагорода Оператора)</w:t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tbl>
      <w:tblPr>
        <w:tblW w:w="9354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Ціна продажу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лота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Винагорода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оператора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,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 xml:space="preserve">з ПДВ, </w:t>
            </w:r>
            <w:r>
              <w:rPr>
                <w:rFonts w:ascii="Liberation Serif" w:hAnsi="Liberation Serif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% 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Понад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64 000 000 до 250 000 000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1,2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16 000 000 до  64 000 000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1,5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4 000 000 до 16 000 000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1,9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Від 1 000 000 до 4 000 000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2,4</w:t>
            </w:r>
          </w:p>
        </w:tc>
      </w:tr>
      <w:tr>
        <w:trPr/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До 1 000 000 грн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7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uk-UA"/>
              </w:rPr>
              <w:t>3, але не менше 30 нмдг</w:t>
            </w:r>
          </w:p>
        </w:tc>
      </w:tr>
    </w:tbl>
    <w:p>
      <w:pPr>
        <w:pStyle w:val="Normal"/>
        <w:spacing w:before="0" w:after="200"/>
        <w:ind w:left="175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>
          <w:rFonts w:ascii="Times New Roman" w:hAnsi="Times New Roman" w:cs="Times New Roman"/>
          <w:b/>
          <w:b/>
          <w:bCs/>
          <w:color w:val="000000"/>
          <w:sz w:val="22"/>
          <w:szCs w:val="22"/>
          <w:lang w:val="uk-UA"/>
        </w:rPr>
      </w:pPr>
      <w:r>
        <w:rPr>
          <w:rFonts w:cs="Times New Roman" w:ascii="Times New Roman" w:hAnsi="Times New Roman"/>
          <w:b/>
          <w:bCs/>
          <w:color w:val="000000"/>
          <w:sz w:val="22"/>
          <w:szCs w:val="22"/>
          <w:lang w:val="uk-UA"/>
        </w:rPr>
      </w:r>
    </w:p>
    <w:p>
      <w:pPr>
        <w:pStyle w:val="Normal"/>
        <w:spacing w:before="0" w:after="200"/>
        <w:ind w:left="175" w:right="0" w:hanging="0"/>
        <w:jc w:val="both"/>
        <w:rPr/>
      </w:pPr>
      <w:r>
        <w:rPr/>
      </w:r>
    </w:p>
    <w:sectPr>
      <w:footerReference w:type="default" r:id="rId13"/>
      <w:type w:val="nextPage"/>
      <w:pgSz w:w="11906" w:h="16838"/>
      <w:pgMar w:left="1701" w:right="851" w:header="0" w:top="851" w:footer="709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7187466"/>
    </w:sdtPr>
    <w:sdtContent>
      <w:p>
        <w:pPr>
          <w:pStyle w:val="Style26"/>
          <w:rPr>
            <w:rFonts w:ascii="Times New Roman" w:hAnsi="Times New Roman" w:cs="Times New Roman"/>
            <w:lang w:val="uk-UA"/>
          </w:rPr>
        </w:pPr>
        <w:r>
          <w:rPr>
            <w:rFonts w:cs="Times New Roman" w:ascii="Times New Roman" w:hAnsi="Times New Roman"/>
            <w:lang w:val="uk-UA"/>
          </w:rPr>
        </w:r>
      </w:p>
    </w:sdtContent>
  </w:sdt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basedOn w:val="DefaultParagraphFont"/>
    <w:uiPriority w:val="99"/>
    <w:unhideWhenUsed/>
    <w:rsid w:val="003e75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03727"/>
    <w:rPr>
      <w:b/>
      <w:bCs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534ebe"/>
    <w:rPr/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534ebe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587037"/>
    <w:rPr>
      <w:color w:val="800080" w:themeColor="followed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lang w:val="uk-UA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character" w:styleId="Style17">
    <w:name w:val="Відвідане гіперпосилання"/>
    <w:rPr>
      <w:color w:val="80000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character" w:styleId="Style19">
    <w:name w:val="Маркери списку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en-US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w w:val="90"/>
      <w:sz w:val="24"/>
      <w:szCs w:val="24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ru-RU"/>
    </w:rPr>
  </w:style>
  <w:style w:type="character" w:styleId="ListLabel6">
    <w:name w:val="ListLabel 6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en-US" w:bidi="zxx"/>
    </w:rPr>
  </w:style>
  <w:style w:type="character" w:styleId="ListLabel7">
    <w:name w:val="ListLabel 7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ru-RU"/>
    </w:rPr>
  </w:style>
  <w:style w:type="character" w:styleId="ListLabel8">
    <w:name w:val="ListLabel 8"/>
    <w:qFormat/>
    <w:rPr>
      <w:rFonts w:ascii="Times New Roman" w:hAnsi="Times New Roman" w:cs="Times New Roman"/>
      <w:color w:val="000000"/>
      <w:w w:val="90"/>
      <w:sz w:val="24"/>
      <w:szCs w:val="24"/>
      <w:lang w:val="uk-UA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en-US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w w:val="90"/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ru-RU"/>
    </w:rPr>
  </w:style>
  <w:style w:type="character" w:styleId="ListLabel12">
    <w:name w:val="ListLabel 12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en-US" w:bidi="zxx"/>
    </w:rPr>
  </w:style>
  <w:style w:type="character" w:styleId="ListLabel13">
    <w:name w:val="ListLabel 13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ru-RU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w w:val="90"/>
      <w:sz w:val="24"/>
      <w:szCs w:val="24"/>
      <w:lang w:val="uk-UA"/>
    </w:rPr>
  </w:style>
  <w:style w:type="character" w:styleId="ListLabel15">
    <w:name w:val="ListLabel 15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en-US"/>
    </w:rPr>
  </w:style>
  <w:style w:type="character" w:styleId="ListLabel16">
    <w:name w:val="ListLabel 16"/>
    <w:qFormat/>
    <w:rPr>
      <w:rFonts w:ascii="Times New Roman" w:hAnsi="Times New Roman" w:cs="Times New Roman"/>
      <w:color w:val="000000"/>
      <w:w w:val="90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ru-RU"/>
    </w:rPr>
  </w:style>
  <w:style w:type="character" w:styleId="ListLabel18">
    <w:name w:val="ListLabel 18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en-US" w:bidi="zxx"/>
    </w:rPr>
  </w:style>
  <w:style w:type="character" w:styleId="ListLabel19">
    <w:name w:val="ListLabel 19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ru-RU"/>
    </w:rPr>
  </w:style>
  <w:style w:type="character" w:styleId="ListLabel20">
    <w:name w:val="ListLabel 20"/>
    <w:qFormat/>
    <w:rPr>
      <w:rFonts w:ascii="Times New Roman" w:hAnsi="Times New Roman" w:cs="Times New Roman"/>
      <w:color w:val="000000"/>
      <w:w w:val="90"/>
      <w:sz w:val="24"/>
      <w:szCs w:val="24"/>
      <w:lang w:val="uk-UA"/>
    </w:rPr>
  </w:style>
  <w:style w:type="character" w:styleId="ListLabel21">
    <w:name w:val="ListLabel 21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en-US"/>
    </w:rPr>
  </w:style>
  <w:style w:type="character" w:styleId="ListLabel22">
    <w:name w:val="ListLabel 22"/>
    <w:qFormat/>
    <w:rPr>
      <w:rFonts w:ascii="Times New Roman" w:hAnsi="Times New Roman" w:cs="Times New Roman"/>
      <w:color w:val="000000"/>
      <w:w w:val="90"/>
      <w:sz w:val="24"/>
      <w:szCs w:val="24"/>
    </w:rPr>
  </w:style>
  <w:style w:type="character" w:styleId="ListLabel23">
    <w:name w:val="ListLabel 23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ru-RU"/>
    </w:rPr>
  </w:style>
  <w:style w:type="character" w:styleId="ListLabel24">
    <w:name w:val="ListLabel 24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en-US" w:bidi="zxx"/>
    </w:rPr>
  </w:style>
  <w:style w:type="character" w:styleId="ListLabel25">
    <w:name w:val="ListLabel 25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ru-RU"/>
    </w:rPr>
  </w:style>
  <w:style w:type="character" w:styleId="ListLabel26">
    <w:name w:val="ListLabel 26"/>
    <w:qFormat/>
    <w:rPr>
      <w:rFonts w:ascii="Times New Roman" w:hAnsi="Times New Roman" w:cs="Times New Roman"/>
      <w:color w:val="000000"/>
      <w:w w:val="90"/>
      <w:sz w:val="24"/>
      <w:szCs w:val="24"/>
      <w:lang w:val="uk-UA"/>
    </w:rPr>
  </w:style>
  <w:style w:type="character" w:styleId="ListLabel27">
    <w:name w:val="ListLabel 27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en-US"/>
    </w:rPr>
  </w:style>
  <w:style w:type="character" w:styleId="ListLabel28">
    <w:name w:val="ListLabel 28"/>
    <w:qFormat/>
    <w:rPr>
      <w:rFonts w:ascii="Times New Roman" w:hAnsi="Times New Roman" w:cs="Times New Roman"/>
      <w:color w:val="000000"/>
      <w:w w:val="90"/>
      <w:sz w:val="24"/>
      <w:szCs w:val="24"/>
    </w:rPr>
  </w:style>
  <w:style w:type="character" w:styleId="ListLabel29">
    <w:name w:val="ListLabel 29"/>
    <w:qFormat/>
    <w:rPr>
      <w:rFonts w:ascii="Times New Roman" w:hAnsi="Times New Roman" w:cs="Times New Roman"/>
      <w:color w:val="000000"/>
      <w:w w:val="90"/>
      <w:sz w:val="24"/>
      <w:szCs w:val="24"/>
      <w:highlight w:val="white"/>
      <w:lang w:val="ru-RU"/>
    </w:rPr>
  </w:style>
  <w:style w:type="character" w:styleId="ListLabel30">
    <w:name w:val="ListLabel 30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en-US" w:bidi="zxx"/>
    </w:rPr>
  </w:style>
  <w:style w:type="character" w:styleId="ListLabel31">
    <w:name w:val="ListLabel 31"/>
    <w:qFormat/>
    <w:rPr>
      <w:rFonts w:ascii="Times New Roman" w:hAnsi="Times New Roman" w:cs="Times New Roman"/>
      <w:b w:val="false"/>
      <w:bCs w:val="false"/>
      <w:color w:val="000000"/>
      <w:w w:val="90"/>
      <w:sz w:val="24"/>
      <w:szCs w:val="24"/>
      <w:highlight w:val="white"/>
      <w:lang w:val="ru-RU"/>
    </w:rPr>
  </w:style>
  <w:style w:type="character" w:styleId="ListLabel32">
    <w:name w:val="ListLabel 32"/>
    <w:qFormat/>
    <w:rPr>
      <w:rFonts w:ascii="Times New Roman" w:hAnsi="Times New Roman" w:cs="Times New Roman"/>
      <w:color w:val="000000"/>
      <w:w w:val="90"/>
      <w:sz w:val="24"/>
      <w:szCs w:val="24"/>
      <w:lang w:val="uk-U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Mangal"/>
    </w:rPr>
  </w:style>
  <w:style w:type="paragraph" w:styleId="2" w:customStyle="1">
    <w:name w:val="Обычный2"/>
    <w:qFormat/>
    <w:rsid w:val="003e75da"/>
    <w:pPr>
      <w:widowControl/>
      <w:bidi w:val="0"/>
      <w:spacing w:lineRule="auto" w:line="240" w:before="0" w:after="0"/>
      <w:ind w:left="3760" w:hanging="0"/>
      <w:jc w:val="left"/>
    </w:pPr>
    <w:rPr>
      <w:rFonts w:ascii="Courier New" w:hAnsi="Courier New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a036c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Header"/>
    <w:basedOn w:val="Normal"/>
    <w:link w:val="a8"/>
    <w:uiPriority w:val="99"/>
    <w:unhideWhenUsed/>
    <w:rsid w:val="00534e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a"/>
    <w:uiPriority w:val="99"/>
    <w:unhideWhenUsed/>
    <w:rsid w:val="00534eb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3">
    <w:name w:val="Основной текст3"/>
    <w:basedOn w:val="Normal"/>
    <w:qFormat/>
    <w:pPr>
      <w:shd w:val="clear" w:fill="FFFFFF"/>
      <w:suppressAutoHyphens w:val="true"/>
      <w:spacing w:lineRule="exact" w:line="317" w:before="360" w:after="240"/>
      <w:jc w:val="both"/>
    </w:pPr>
    <w:rPr>
      <w:rFonts w:cs="Times New Roman"/>
      <w:spacing w:val="4"/>
      <w:sz w:val="25"/>
      <w:szCs w:val="25"/>
    </w:rPr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358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npl.setam.net.ua/" TargetMode="External"/><Relationship Id="rId3" Type="http://schemas.openxmlformats.org/officeDocument/2006/relationships/hyperlink" Target="http://setam.net.ua/" TargetMode="External"/><Relationship Id="rId4" Type="http://schemas.openxmlformats.org/officeDocument/2006/relationships/hyperlink" Target="http://setam.net.ua/" TargetMode="External"/><Relationship Id="rId5" Type="http://schemas.openxmlformats.org/officeDocument/2006/relationships/hyperlink" Target="https://setam.net.ua/" TargetMode="External"/><Relationship Id="rId6" Type="http://schemas.openxmlformats.org/officeDocument/2006/relationships/hyperlink" Target="http://setam.net.ua/" TargetMode="External"/><Relationship Id="rId7" Type="http://schemas.openxmlformats.org/officeDocument/2006/relationships/hyperlink" Target="http://setam.net.ua/" TargetMode="External"/><Relationship Id="rId8" Type="http://schemas.openxmlformats.org/officeDocument/2006/relationships/hyperlink" Target="http://setam.net.ua/" TargetMode="External"/><Relationship Id="rId9" Type="http://schemas.openxmlformats.org/officeDocument/2006/relationships/hyperlink" Target="http://setam.net.ua/" TargetMode="External"/><Relationship Id="rId10" Type="http://schemas.openxmlformats.org/officeDocument/2006/relationships/hyperlink" Target="http://setam.net.ua/" TargetMode="External"/><Relationship Id="rId11" Type="http://schemas.openxmlformats.org/officeDocument/2006/relationships/hyperlink" Target="http://setam.net.ua/" TargetMode="External"/><Relationship Id="rId12" Type="http://schemas.openxmlformats.org/officeDocument/2006/relationships/hyperlink" Target="https://client-bank.privatbank.ua/p24/c2brest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Application>LibreOffice/6.1.3.2$Windows_X86_64 LibreOffice_project/86daf60bf00efa86ad547e59e09d6bb77c699acb</Application>
  <Pages>7</Pages>
  <Words>1524</Words>
  <Characters>9686</Characters>
  <CharactersWithSpaces>11110</CharactersWithSpaces>
  <Paragraphs>148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2017-03-16T15:06:00Z</dcterms:created>
  <dc:creator>Александр Мельник</dc:creator>
  <dc:description/>
  <dc:language>uk-UA</dc:language>
  <cp:lastModifiedBy/>
  <dcterms:modified xsi:type="dcterms:W3CDTF">2019-01-04T12:38:47Z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